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b/>
          <w:b/>
          <w:sz w:val="28"/>
          <w:szCs w:val="28"/>
        </w:rPr>
      </w:pPr>
      <w:r>
        <w:rPr>
          <w:rFonts w:cs="Calibri" w:ascii="Calibri" w:hAnsi="Calibri"/>
          <w:b/>
          <w:sz w:val="28"/>
          <w:szCs w:val="28"/>
        </w:rPr>
        <w:t>ANNEXE 2</w:t>
      </w:r>
    </w:p>
    <w:p>
      <w:pPr>
        <w:pStyle w:val="Normal"/>
        <w:jc w:val="center"/>
        <w:rPr>
          <w:rFonts w:ascii="Calibri" w:hAnsi="Calibri" w:cs="Calibri"/>
          <w:sz w:val="28"/>
          <w:szCs w:val="28"/>
        </w:rPr>
      </w:pPr>
      <w:r>
        <w:rPr>
          <w:rFonts w:cs="Calibri" w:ascii="Calibri" w:hAnsi="Calibri"/>
          <w:b/>
          <w:sz w:val="28"/>
          <w:szCs w:val="28"/>
        </w:rPr>
        <w:t>DOSSIER DE BOURSE D'ETUDES POUR RELIGIEUX 2020</w:t>
      </w:r>
    </w:p>
    <w:p>
      <w:pPr>
        <w:pStyle w:val="Normal"/>
        <w:jc w:val="both"/>
        <w:rPr>
          <w:rFonts w:ascii="Calibri" w:hAnsi="Calibri" w:cs="Calibri"/>
          <w:sz w:val="28"/>
          <w:szCs w:val="28"/>
        </w:rPr>
      </w:pPr>
      <w:r>
        <w:rPr>
          <w:rFonts w:cs="Calibri" w:ascii="Calibri" w:hAnsi="Calibri"/>
          <w:sz w:val="28"/>
          <w:szCs w:val="28"/>
        </w:rPr>
      </w:r>
    </w:p>
    <w:p>
      <w:pPr>
        <w:pStyle w:val="Normal"/>
        <w:pBdr>
          <w:top w:val="single" w:sz="4" w:space="1" w:color="000000"/>
          <w:left w:val="single" w:sz="4" w:space="4" w:color="000000"/>
          <w:bottom w:val="single" w:sz="4" w:space="1" w:color="000000"/>
          <w:right w:val="single" w:sz="4" w:space="4" w:color="000000"/>
        </w:pBdr>
        <w:jc w:val="both"/>
        <w:rPr>
          <w:rFonts w:ascii="Calibri" w:hAnsi="Calibri" w:cs="Calibri"/>
          <w:b/>
          <w:b/>
          <w:sz w:val="28"/>
          <w:szCs w:val="28"/>
        </w:rPr>
      </w:pPr>
      <w:r>
        <w:rPr>
          <w:rFonts w:cs="Calibri" w:ascii="Calibri" w:hAnsi="Calibri"/>
          <w:b/>
          <w:sz w:val="28"/>
          <w:szCs w:val="28"/>
        </w:rPr>
        <w:t>Le programme de bourses d’études est ouvert à la fois pour des futurs cadres religieux amenés à exercer des responsabilités au sein d’une institution religieuse et pour des étudiants ayant un projet d’études lié directement et de façon évidente aux sciences religieuses.</w:t>
      </w:r>
    </w:p>
    <w:p>
      <w:pPr>
        <w:pStyle w:val="Normal"/>
        <w:jc w:val="both"/>
        <w:rPr>
          <w:rFonts w:ascii="Calibri" w:hAnsi="Calibri" w:cs="Calibri"/>
          <w:sz w:val="28"/>
          <w:szCs w:val="28"/>
          <w:u w:val="single"/>
        </w:rPr>
      </w:pPr>
      <w:r>
        <w:rPr/>
      </w:r>
    </w:p>
    <w:p>
      <w:pPr>
        <w:pStyle w:val="Normal"/>
        <w:jc w:val="both"/>
        <w:rPr>
          <w:rFonts w:ascii="Calibri" w:hAnsi="Calibri" w:cs="Calibri"/>
          <w:sz w:val="28"/>
          <w:szCs w:val="28"/>
          <w:u w:val="single"/>
        </w:rPr>
      </w:pPr>
      <w:r>
        <w:rPr/>
      </w:r>
    </w:p>
    <w:p>
      <w:pPr>
        <w:pStyle w:val="Normal"/>
        <w:jc w:val="both"/>
        <w:rPr/>
      </w:pPr>
      <w:r>
        <w:rPr>
          <w:rFonts w:cs="Calibri" w:ascii="Calibri" w:hAnsi="Calibri"/>
          <w:sz w:val="28"/>
          <w:szCs w:val="28"/>
          <w:u w:val="single"/>
        </w:rPr>
        <w:t xml:space="preserve">Pour les demandes de bourses longues (de 12 à  36 mois) comme de bourses courtes (6  mois) </w:t>
      </w:r>
      <w:r>
        <w:rPr>
          <w:rFonts w:cs="Calibri" w:ascii="Calibri" w:hAnsi="Calibri"/>
          <w:sz w:val="28"/>
          <w:szCs w:val="28"/>
        </w:rPr>
        <w:t xml:space="preserve">, les candidats doivent remettre leur dossier </w:t>
      </w:r>
      <w:r>
        <w:rPr>
          <w:rFonts w:cs="Calibri" w:ascii="Calibri" w:hAnsi="Calibri"/>
          <w:sz w:val="28"/>
          <w:szCs w:val="28"/>
          <w:u w:val="single"/>
        </w:rPr>
        <w:t>au</w:t>
      </w:r>
      <w:r>
        <w:rPr>
          <w:rFonts w:cs="Calibri" w:ascii="Calibri" w:hAnsi="Calibri"/>
          <w:bCs/>
          <w:sz w:val="28"/>
          <w:szCs w:val="28"/>
          <w:u w:val="single"/>
        </w:rPr>
        <w:t xml:space="preserve"> Service de Coopération et d’Action Culturelle</w:t>
      </w:r>
      <w:r>
        <w:rPr>
          <w:rFonts w:cs="Calibri" w:ascii="Calibri" w:hAnsi="Calibri"/>
          <w:bCs/>
          <w:sz w:val="28"/>
          <w:szCs w:val="28"/>
        </w:rPr>
        <w:t xml:space="preserve"> (SCAC) de l’Ambassade de France</w:t>
      </w:r>
      <w:r>
        <w:rPr>
          <w:rFonts w:cs="Calibri" w:ascii="Calibri" w:hAnsi="Calibri"/>
          <w:sz w:val="28"/>
          <w:szCs w:val="28"/>
        </w:rPr>
        <w:t xml:space="preserve"> de leur pays de résidence, dans les meilleurs délais avant le lundi </w:t>
      </w:r>
      <w:r>
        <w:rPr>
          <w:rFonts w:cs="Calibri" w:ascii="Calibri" w:hAnsi="Calibri"/>
          <w:b/>
          <w:bCs/>
          <w:sz w:val="28"/>
          <w:szCs w:val="28"/>
        </w:rPr>
        <w:t xml:space="preserve">18 </w:t>
      </w:r>
      <w:r>
        <w:rPr>
          <w:rFonts w:cs="Calibri" w:ascii="Calibri" w:hAnsi="Calibri"/>
          <w:b/>
          <w:sz w:val="28"/>
          <w:szCs w:val="28"/>
        </w:rPr>
        <w:t>mai 2020</w:t>
      </w:r>
      <w:r>
        <w:rPr>
          <w:rFonts w:cs="Calibri" w:ascii="Calibri" w:hAnsi="Calibri"/>
          <w:sz w:val="28"/>
          <w:szCs w:val="28"/>
        </w:rPr>
        <w:t>.</w:t>
      </w:r>
    </w:p>
    <w:p>
      <w:pPr>
        <w:pStyle w:val="Normal"/>
        <w:jc w:val="both"/>
        <w:rPr>
          <w:rFonts w:ascii="Calibri" w:hAnsi="Calibri" w:cs="Calibri"/>
          <w:sz w:val="28"/>
          <w:szCs w:val="28"/>
        </w:rPr>
      </w:pPr>
      <w:r>
        <w:rPr>
          <w:rFonts w:cs="Calibri" w:ascii="Calibri" w:hAnsi="Calibri"/>
          <w:sz w:val="28"/>
          <w:szCs w:val="28"/>
        </w:rPr>
      </w:r>
    </w:p>
    <w:p>
      <w:pPr>
        <w:pStyle w:val="Normal"/>
        <w:jc w:val="both"/>
        <w:rPr/>
      </w:pPr>
      <w:r>
        <w:rPr>
          <w:rFonts w:cs="Calibri" w:ascii="Calibri" w:hAnsi="Calibri"/>
          <w:sz w:val="28"/>
          <w:szCs w:val="28"/>
        </w:rPr>
        <w:t>Les dossiers incomplets ou reçus après cette date ne seront pas examinés. Les dossiers envoyés directement au Ministère par des candidats ou des établissements d’enseignement supérieur ne sont pas éligibles.</w:t>
      </w:r>
    </w:p>
    <w:p>
      <w:pPr>
        <w:pStyle w:val="Normal"/>
        <w:jc w:val="both"/>
        <w:rPr>
          <w:rFonts w:ascii="Calibri" w:hAnsi="Calibri" w:cs="Calibri"/>
          <w:sz w:val="28"/>
          <w:szCs w:val="28"/>
        </w:rPr>
      </w:pPr>
      <w:r>
        <w:rPr>
          <w:rFonts w:cs="Calibri" w:ascii="Calibri" w:hAnsi="Calibri"/>
          <w:sz w:val="28"/>
          <w:szCs w:val="28"/>
        </w:rPr>
      </w:r>
    </w:p>
    <w:p>
      <w:pPr>
        <w:pStyle w:val="Normal"/>
        <w:jc w:val="both"/>
        <w:rPr>
          <w:rFonts w:ascii="Calibri" w:hAnsi="Calibri" w:cs="Calibri"/>
          <w:sz w:val="28"/>
          <w:szCs w:val="28"/>
        </w:rPr>
      </w:pPr>
      <w:r>
        <w:rPr>
          <w:rFonts w:cs="Calibri" w:ascii="Calibri" w:hAnsi="Calibri"/>
          <w:sz w:val="28"/>
          <w:szCs w:val="28"/>
        </w:rPr>
      </w:r>
    </w:p>
    <w:p>
      <w:pPr>
        <w:pStyle w:val="Normal"/>
        <w:spacing w:before="0" w:after="120"/>
        <w:ind w:firstLine="567"/>
        <w:jc w:val="both"/>
        <w:rPr/>
      </w:pPr>
      <w:r>
        <w:rPr>
          <w:rFonts w:cs="Calibri" w:ascii="Calibri" w:hAnsi="Calibri"/>
          <w:b/>
          <w:i/>
          <w:sz w:val="28"/>
          <w:szCs w:val="28"/>
          <w:u w:val="single"/>
        </w:rPr>
        <w:t xml:space="preserve">Bourses longues </w:t>
      </w:r>
      <w:r>
        <w:rPr>
          <w:rFonts w:cs="Calibri" w:ascii="Calibri" w:hAnsi="Calibri"/>
          <w:b/>
          <w:sz w:val="28"/>
          <w:szCs w:val="28"/>
          <w:u w:val="single"/>
        </w:rPr>
        <w:t>(</w:t>
      </w:r>
      <w:r>
        <w:rPr>
          <w:rFonts w:cs="Calibri" w:ascii="Calibri" w:hAnsi="Calibri"/>
          <w:b/>
          <w:i/>
          <w:sz w:val="28"/>
          <w:szCs w:val="28"/>
          <w:u w:val="single"/>
        </w:rPr>
        <w:t>de 12 à 36 mois)</w:t>
      </w:r>
    </w:p>
    <w:p>
      <w:pPr>
        <w:pStyle w:val="Normal"/>
        <w:spacing w:before="0" w:after="120"/>
        <w:jc w:val="both"/>
        <w:rPr>
          <w:rFonts w:ascii="Calibri" w:hAnsi="Calibri" w:cs="Calibri"/>
          <w:sz w:val="28"/>
          <w:szCs w:val="28"/>
        </w:rPr>
      </w:pPr>
      <w:r>
        <w:rPr>
          <w:rFonts w:cs="Calibri" w:ascii="Calibri" w:hAnsi="Calibri"/>
          <w:sz w:val="28"/>
          <w:szCs w:val="28"/>
        </w:rPr>
        <w:t>Elles couvrent une période d’études pour tout ou partie d’un cycle d’études en France (Master, Doctorat, éventuellement Licence selon la qualité des dossiers).</w:t>
      </w:r>
    </w:p>
    <w:p>
      <w:pPr>
        <w:pStyle w:val="Normal"/>
        <w:spacing w:before="0" w:after="120"/>
        <w:jc w:val="both"/>
        <w:rPr>
          <w:rFonts w:ascii="Calibri" w:hAnsi="Calibri" w:cs="Calibri"/>
          <w:sz w:val="28"/>
          <w:szCs w:val="28"/>
        </w:rPr>
      </w:pPr>
      <w:r>
        <w:rPr>
          <w:rFonts w:cs="Calibri" w:ascii="Calibri" w:hAnsi="Calibri"/>
          <w:sz w:val="28"/>
          <w:szCs w:val="28"/>
        </w:rPr>
      </w:r>
    </w:p>
    <w:p>
      <w:pPr>
        <w:pStyle w:val="Normal"/>
        <w:spacing w:before="0" w:after="120"/>
        <w:ind w:firstLine="567"/>
        <w:jc w:val="both"/>
        <w:rPr/>
      </w:pPr>
      <w:r>
        <w:rPr>
          <w:rFonts w:cs="Calibri" w:ascii="Calibri" w:hAnsi="Calibri"/>
          <w:b/>
          <w:i/>
          <w:sz w:val="28"/>
          <w:szCs w:val="28"/>
          <w:u w:val="single"/>
        </w:rPr>
        <w:t>Bourses courtes (de 6 mois)</w:t>
      </w:r>
    </w:p>
    <w:p>
      <w:pPr>
        <w:pStyle w:val="Normal"/>
        <w:rPr>
          <w:rFonts w:ascii="Calibri" w:hAnsi="Calibri" w:cs="Calibri"/>
          <w:sz w:val="28"/>
          <w:szCs w:val="28"/>
          <w:u w:val="single"/>
        </w:rPr>
      </w:pPr>
      <w:r>
        <w:rPr>
          <w:rFonts w:cs="Calibri" w:ascii="Calibri" w:hAnsi="Calibri"/>
          <w:sz w:val="28"/>
          <w:szCs w:val="28"/>
        </w:rPr>
        <w:t>Elles couvrent une période d’études allant de 6 à 18 mois et financent prioritairement des Master 2, et des séjours en France qui s’inscrivent dans le cadre d’un doctorat, avec ou sans cotutelle, ou d’un post-doctorat, en France. D’autres cycles de formation sont néanmoins susceptibles de bénéficier d’une bourse courte.</w:t>
      </w:r>
      <w:r>
        <w:br w:type="page"/>
      </w:r>
    </w:p>
    <w:p>
      <w:pPr>
        <w:pStyle w:val="Normal"/>
        <w:jc w:val="both"/>
        <w:rPr>
          <w:rFonts w:ascii="Calibri" w:hAnsi="Calibri" w:cs="Calibri"/>
          <w:b/>
          <w:b/>
          <w:sz w:val="28"/>
          <w:szCs w:val="28"/>
          <w:u w:val="single"/>
        </w:rPr>
      </w:pPr>
      <w:r>
        <w:rPr>
          <w:rFonts w:cs="Calibri" w:ascii="Calibri" w:hAnsi="Calibri"/>
          <w:b/>
          <w:sz w:val="28"/>
          <w:szCs w:val="28"/>
          <w:u w:val="single"/>
        </w:rPr>
        <w:t>Pièces constitutives du dossier de candidature à envoyer au SCAC, pour une demande de bourse longue ou courte :</w:t>
      </w:r>
    </w:p>
    <w:p>
      <w:pPr>
        <w:pStyle w:val="Normal"/>
        <w:jc w:val="both"/>
        <w:rPr>
          <w:rFonts w:ascii="Calibri" w:hAnsi="Calibri" w:cs="Calibri"/>
          <w:b/>
          <w:b/>
          <w:sz w:val="28"/>
          <w:szCs w:val="28"/>
          <w:u w:val="single"/>
        </w:rPr>
      </w:pPr>
      <w:r>
        <w:rPr>
          <w:rFonts w:cs="Calibri" w:ascii="Calibri" w:hAnsi="Calibri"/>
          <w:b/>
          <w:sz w:val="28"/>
          <w:szCs w:val="28"/>
          <w:u w:val="single"/>
        </w:rPr>
      </w:r>
    </w:p>
    <w:p>
      <w:pPr>
        <w:pStyle w:val="Normal"/>
        <w:numPr>
          <w:ilvl w:val="0"/>
          <w:numId w:val="2"/>
        </w:numPr>
        <w:tabs>
          <w:tab w:val="clear" w:pos="708"/>
          <w:tab w:val="left" w:pos="567" w:leader="none"/>
        </w:tabs>
        <w:jc w:val="both"/>
        <w:rPr/>
      </w:pPr>
      <w:r>
        <w:rPr>
          <w:rFonts w:cs="Calibri" w:ascii="Calibri" w:hAnsi="Calibri"/>
          <w:sz w:val="28"/>
          <w:szCs w:val="28"/>
        </w:rPr>
        <w:t>Formulaire de bourse d'études (en annexe) ;</w:t>
      </w:r>
    </w:p>
    <w:p>
      <w:pPr>
        <w:pStyle w:val="Normal"/>
        <w:tabs>
          <w:tab w:val="clear" w:pos="708"/>
          <w:tab w:val="left" w:pos="567" w:leader="none"/>
        </w:tabs>
        <w:ind w:left="720" w:hanging="0"/>
        <w:jc w:val="both"/>
        <w:rPr>
          <w:rFonts w:ascii="Calibri" w:hAnsi="Calibri" w:cs="Calibri"/>
          <w:sz w:val="28"/>
          <w:szCs w:val="28"/>
        </w:rPr>
      </w:pPr>
      <w:r>
        <w:rPr>
          <w:rFonts w:cs="Calibri" w:ascii="Calibri" w:hAnsi="Calibri"/>
          <w:sz w:val="28"/>
          <w:szCs w:val="28"/>
        </w:rPr>
      </w:r>
    </w:p>
    <w:p>
      <w:pPr>
        <w:pStyle w:val="Normal"/>
        <w:numPr>
          <w:ilvl w:val="0"/>
          <w:numId w:val="2"/>
        </w:numPr>
        <w:tabs>
          <w:tab w:val="clear" w:pos="708"/>
          <w:tab w:val="left" w:pos="567" w:leader="none"/>
        </w:tabs>
        <w:jc w:val="both"/>
        <w:rPr>
          <w:rFonts w:ascii="Calibri" w:hAnsi="Calibri" w:cs="Calibri"/>
          <w:sz w:val="28"/>
          <w:szCs w:val="28"/>
        </w:rPr>
      </w:pPr>
      <w:r>
        <w:rPr>
          <w:rFonts w:cs="Calibri" w:ascii="Calibri" w:hAnsi="Calibri"/>
          <w:sz w:val="28"/>
          <w:szCs w:val="28"/>
        </w:rPr>
        <w:t>Diplôme proposé en équivalence du baccalauréat français et sa traduction certifiée exacte visée par l'Ambassade de France ;</w:t>
      </w:r>
    </w:p>
    <w:p>
      <w:pPr>
        <w:pStyle w:val="Normal"/>
        <w:tabs>
          <w:tab w:val="clear" w:pos="708"/>
          <w:tab w:val="left" w:pos="567" w:leader="none"/>
        </w:tabs>
        <w:ind w:left="567" w:hanging="567"/>
        <w:jc w:val="both"/>
        <w:rPr>
          <w:rFonts w:ascii="Calibri" w:hAnsi="Calibri" w:cs="Calibri"/>
          <w:sz w:val="28"/>
          <w:szCs w:val="28"/>
        </w:rPr>
      </w:pPr>
      <w:r>
        <w:rPr>
          <w:rFonts w:cs="Calibri" w:ascii="Calibri" w:hAnsi="Calibri"/>
          <w:sz w:val="28"/>
          <w:szCs w:val="28"/>
        </w:rPr>
      </w:r>
    </w:p>
    <w:p>
      <w:pPr>
        <w:pStyle w:val="Normal"/>
        <w:numPr>
          <w:ilvl w:val="0"/>
          <w:numId w:val="2"/>
        </w:numPr>
        <w:tabs>
          <w:tab w:val="clear" w:pos="708"/>
          <w:tab w:val="left" w:pos="567" w:leader="none"/>
        </w:tabs>
        <w:jc w:val="both"/>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Autres diplômes supérieurs et leurs traductions certifiées exactes, visées par l'Ambassade de France ;</w:t>
      </w:r>
    </w:p>
    <w:p>
      <w:pPr>
        <w:pStyle w:val="ListParagraph"/>
        <w:rPr>
          <w:rFonts w:ascii="Calibri" w:hAnsi="Calibri" w:cs="Calibri"/>
          <w:sz w:val="28"/>
          <w:szCs w:val="28"/>
        </w:rPr>
      </w:pPr>
      <w:r>
        <w:rPr>
          <w:rFonts w:cs="Calibri" w:ascii="Calibri" w:hAnsi="Calibri"/>
          <w:sz w:val="28"/>
          <w:szCs w:val="28"/>
        </w:rPr>
      </w:r>
    </w:p>
    <w:p>
      <w:pPr>
        <w:pStyle w:val="Normal"/>
        <w:numPr>
          <w:ilvl w:val="0"/>
          <w:numId w:val="2"/>
        </w:numPr>
        <w:tabs>
          <w:tab w:val="clear" w:pos="708"/>
          <w:tab w:val="left" w:pos="567" w:leader="none"/>
        </w:tabs>
        <w:jc w:val="both"/>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Attestation délivrée par l'établissement français d'enseignement supérieur certifiant qu'il pourra accueillir le candidat, en indiquant la formation prévue et le diplôme visé ;</w:t>
      </w:r>
    </w:p>
    <w:p>
      <w:pPr>
        <w:pStyle w:val="ListParagraph"/>
        <w:rPr>
          <w:rFonts w:ascii="Calibri" w:hAnsi="Calibri" w:cs="Calibri"/>
          <w:sz w:val="28"/>
          <w:szCs w:val="28"/>
        </w:rPr>
      </w:pPr>
      <w:r>
        <w:rPr>
          <w:rFonts w:cs="Calibri" w:ascii="Calibri" w:hAnsi="Calibri"/>
          <w:sz w:val="28"/>
          <w:szCs w:val="28"/>
        </w:rPr>
      </w:r>
    </w:p>
    <w:p>
      <w:pPr>
        <w:pStyle w:val="Normal"/>
        <w:numPr>
          <w:ilvl w:val="0"/>
          <w:numId w:val="2"/>
        </w:numPr>
        <w:tabs>
          <w:tab w:val="clear" w:pos="708"/>
          <w:tab w:val="left" w:pos="567" w:leader="none"/>
        </w:tabs>
        <w:jc w:val="both"/>
        <w:rPr>
          <w:rFonts w:ascii="Calibri" w:hAnsi="Calibri" w:cs="Calibri"/>
          <w:sz w:val="28"/>
          <w:szCs w:val="28"/>
        </w:rPr>
      </w:pPr>
      <w:r>
        <w:rPr>
          <w:rFonts w:eastAsia="Calibri" w:cs="Calibri" w:ascii="Calibri" w:hAnsi="Calibri"/>
          <w:sz w:val="28"/>
          <w:szCs w:val="28"/>
        </w:rPr>
        <w:t xml:space="preserve"> </w:t>
      </w:r>
      <w:r>
        <w:rPr>
          <w:rFonts w:cs="Calibri" w:ascii="Calibri" w:hAnsi="Calibri"/>
          <w:sz w:val="28"/>
          <w:szCs w:val="28"/>
        </w:rPr>
        <w:t>Projet détaillé des études en France indiquant l’objectif professionnel après l’obtention du diplôme. Dans le cas d’un doctorat, fournir une présentation détaillée du projet de thèse ;</w:t>
      </w:r>
    </w:p>
    <w:p>
      <w:pPr>
        <w:pStyle w:val="ListParagraph"/>
        <w:rPr>
          <w:rFonts w:ascii="Calibri" w:hAnsi="Calibri" w:cs="Calibri"/>
          <w:sz w:val="28"/>
          <w:szCs w:val="28"/>
        </w:rPr>
      </w:pPr>
      <w:r>
        <w:rPr>
          <w:rFonts w:cs="Calibri" w:ascii="Calibri" w:hAnsi="Calibri"/>
          <w:sz w:val="28"/>
          <w:szCs w:val="28"/>
        </w:rPr>
      </w:r>
    </w:p>
    <w:p>
      <w:pPr>
        <w:pStyle w:val="Normal"/>
        <w:numPr>
          <w:ilvl w:val="0"/>
          <w:numId w:val="2"/>
        </w:numPr>
        <w:jc w:val="both"/>
        <w:rPr>
          <w:rFonts w:ascii="Calibri" w:hAnsi="Calibri" w:cs="Calibri"/>
          <w:sz w:val="28"/>
          <w:szCs w:val="28"/>
        </w:rPr>
      </w:pPr>
      <w:r>
        <w:rPr>
          <w:rFonts w:cs="Calibri" w:ascii="Calibri" w:hAnsi="Calibri"/>
          <w:sz w:val="28"/>
          <w:szCs w:val="28"/>
        </w:rPr>
        <w:t>Pour les candidats à une inscription en licence, document établi par le service de coopération et d'action culturelle (SCAC) de l'Ambassade de France ou de l'Institut Français justifiant cette demande ;</w:t>
      </w:r>
    </w:p>
    <w:p>
      <w:pPr>
        <w:pStyle w:val="ListParagraph"/>
        <w:rPr>
          <w:rFonts w:ascii="Calibri" w:hAnsi="Calibri" w:cs="Calibri"/>
          <w:sz w:val="28"/>
          <w:szCs w:val="28"/>
        </w:rPr>
      </w:pPr>
      <w:r>
        <w:rPr>
          <w:rFonts w:cs="Calibri" w:ascii="Calibri" w:hAnsi="Calibri"/>
          <w:sz w:val="28"/>
          <w:szCs w:val="28"/>
        </w:rPr>
      </w:r>
    </w:p>
    <w:p>
      <w:pPr>
        <w:pStyle w:val="Normal"/>
        <w:numPr>
          <w:ilvl w:val="0"/>
          <w:numId w:val="2"/>
        </w:numPr>
        <w:tabs>
          <w:tab w:val="clear" w:pos="708"/>
          <w:tab w:val="left" w:pos="567" w:leader="none"/>
        </w:tabs>
        <w:jc w:val="both"/>
        <w:rPr>
          <w:rFonts w:ascii="Calibri" w:hAnsi="Calibri" w:cs="Calibri"/>
          <w:sz w:val="28"/>
          <w:szCs w:val="28"/>
        </w:rPr>
      </w:pPr>
      <w:r>
        <w:rPr>
          <w:rFonts w:cs="Calibri" w:ascii="Calibri" w:hAnsi="Calibri"/>
          <w:sz w:val="28"/>
          <w:szCs w:val="28"/>
        </w:rPr>
        <w:t>Pour les candidats originaires de pays où le français n’est pas la langue officielle, attestation du score obtenu au Test de Connaissance du Français (TCF) de moins de deux ans, ou diplôme d’études de la langue française (DELF B2) ou diplôme d’études approfondi de la langue française (DALF C1 ou DALF C2).</w:t>
      </w:r>
    </w:p>
    <w:p>
      <w:pPr>
        <w:pStyle w:val="Normal"/>
        <w:jc w:val="both"/>
        <w:rPr>
          <w:rFonts w:ascii="Calibri" w:hAnsi="Calibri" w:cs="Calibri"/>
          <w:sz w:val="28"/>
          <w:szCs w:val="28"/>
        </w:rPr>
      </w:pPr>
      <w:r>
        <w:rPr>
          <w:rFonts w:cs="Calibri" w:ascii="Calibri" w:hAnsi="Calibri"/>
          <w:sz w:val="28"/>
          <w:szCs w:val="28"/>
        </w:rPr>
      </w:r>
    </w:p>
    <w:p>
      <w:pPr>
        <w:pStyle w:val="Normal"/>
        <w:spacing w:before="0" w:after="120"/>
        <w:ind w:left="567" w:hanging="0"/>
        <w:jc w:val="both"/>
        <w:rPr/>
      </w:pPr>
      <w:r>
        <w:rPr>
          <w:rFonts w:cs="Calibri" w:ascii="Calibri" w:hAnsi="Calibri"/>
          <w:i/>
          <w:sz w:val="28"/>
          <w:szCs w:val="28"/>
          <w:u w:val="single"/>
        </w:rPr>
        <w:t>Pour les candidats dépendant d’une autorité ou d’une communauté religieuse :</w:t>
      </w:r>
      <w:r>
        <w:rPr>
          <w:rFonts w:cs="Calibri" w:ascii="Calibri" w:hAnsi="Calibri"/>
          <w:i/>
          <w:sz w:val="28"/>
          <w:szCs w:val="28"/>
        </w:rPr>
        <w:t xml:space="preserve"> </w:t>
      </w:r>
    </w:p>
    <w:p>
      <w:pPr>
        <w:pStyle w:val="Normal"/>
        <w:numPr>
          <w:ilvl w:val="0"/>
          <w:numId w:val="3"/>
        </w:numPr>
        <w:spacing w:before="0" w:after="120"/>
        <w:jc w:val="both"/>
        <w:rPr>
          <w:rFonts w:ascii="Calibri" w:hAnsi="Calibri" w:cs="Calibri"/>
          <w:i/>
          <w:i/>
          <w:sz w:val="28"/>
          <w:szCs w:val="28"/>
        </w:rPr>
      </w:pPr>
      <w:r>
        <w:rPr>
          <w:rFonts w:cs="Calibri" w:ascii="Calibri" w:hAnsi="Calibri"/>
          <w:i/>
          <w:sz w:val="28"/>
          <w:szCs w:val="28"/>
        </w:rPr>
        <w:t>Certificat(s) du statut de religieux délivré(s) par l’autorité ou le responsable religieux, visé(s) par l'Ambassade de France ;</w:t>
      </w:r>
    </w:p>
    <w:p>
      <w:pPr>
        <w:pStyle w:val="Normal"/>
        <w:numPr>
          <w:ilvl w:val="0"/>
          <w:numId w:val="3"/>
        </w:numPr>
        <w:tabs>
          <w:tab w:val="clear" w:pos="708"/>
          <w:tab w:val="left" w:pos="567" w:leader="none"/>
        </w:tabs>
        <w:spacing w:before="0" w:after="120"/>
        <w:jc w:val="both"/>
        <w:rPr/>
      </w:pPr>
      <w:r>
        <w:rPr>
          <w:rFonts w:cs="Calibri" w:ascii="Calibri" w:hAnsi="Calibri"/>
          <w:i/>
          <w:sz w:val="28"/>
          <w:szCs w:val="28"/>
        </w:rPr>
        <w:t xml:space="preserve">Recommandation de l’autorité ou du responsable religieux, comprenant, en cas de candidatures multiples, l'ordre de classement des candidats présentés ; </w:t>
      </w:r>
    </w:p>
    <w:p>
      <w:pPr>
        <w:pStyle w:val="Normal"/>
        <w:numPr>
          <w:ilvl w:val="0"/>
          <w:numId w:val="3"/>
        </w:numPr>
        <w:tabs>
          <w:tab w:val="clear" w:pos="708"/>
          <w:tab w:val="left" w:pos="567" w:leader="none"/>
        </w:tabs>
        <w:jc w:val="both"/>
        <w:rPr/>
      </w:pPr>
      <w:r>
        <w:rPr>
          <w:rFonts w:cs="Calibri" w:ascii="Calibri" w:hAnsi="Calibri"/>
          <w:i/>
          <w:sz w:val="28"/>
          <w:szCs w:val="28"/>
        </w:rPr>
        <w:t xml:space="preserve">Documents relatifs au cofinancement de la bourse émis par l’autorité ou la communauté religieuse présentant le candidat. </w:t>
      </w:r>
    </w:p>
    <w:p>
      <w:pPr>
        <w:pStyle w:val="Normal"/>
        <w:jc w:val="both"/>
        <w:rPr/>
      </w:pPr>
      <w:r>
        <w:rPr/>
      </w:r>
    </w:p>
    <w:sectPr>
      <w:type w:val="nextPage"/>
      <w:pgSz w:w="11906" w:h="16838"/>
      <w:pgMar w:left="1134" w:right="992"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8"/>
        <w:szCs w:val="28"/>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Letter"/>
      <w:lvlText w:val="%1."/>
      <w:lvlJc w:val="left"/>
      <w:pPr>
        <w:ind w:left="720" w:hanging="360"/>
      </w:pPr>
      <w:rPr>
        <w:sz w:val="28"/>
        <w:i w:val="false"/>
        <w:szCs w:val="28"/>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fr-FR" w:bidi="ar-SA" w:eastAsia="zh-CN"/>
    </w:rPr>
  </w:style>
  <w:style w:type="paragraph" w:styleId="1">
    <w:name w:val="Heading 1"/>
    <w:basedOn w:val="Normal"/>
    <w:next w:val="Normal"/>
    <w:uiPriority w:val="9"/>
    <w:qFormat/>
    <w:pPr>
      <w:keepNext w:val="true"/>
      <w:numPr>
        <w:ilvl w:val="0"/>
        <w:numId w:val="1"/>
      </w:numPr>
      <w:jc w:val="center"/>
      <w:outlineLvl w:val="0"/>
    </w:pPr>
    <w:rPr>
      <w:b/>
      <w:bCs/>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Calibri" w:hAnsi="Calibri" w:cs="Calibri"/>
      <w:sz w:val="28"/>
      <w:szCs w:val="28"/>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eastAsia="Times New Roman" w:cs="Times New Roman"/>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Calibri" w:hAnsi="Calibri" w:cs="Calibri"/>
      <w:i w:val="false"/>
      <w:sz w:val="28"/>
      <w:szCs w:val="28"/>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Calibri" w:hAnsi="Calibri" w:eastAsia="Times New Roman" w:cs="Times New Roman"/>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Style13" w:customStyle="1">
    <w:name w:val="Интернет-ссылка"/>
    <w:rPr>
      <w:color w:val="0000FF"/>
      <w:u w:val="single"/>
    </w:rPr>
  </w:style>
  <w:style w:type="character" w:styleId="NotedebasdepageCar" w:customStyle="1">
    <w:name w:val="Note de bas de page Car"/>
    <w:basedOn w:val="DefaultParagraphFont"/>
    <w:qFormat/>
    <w:rPr/>
  </w:style>
  <w:style w:type="character" w:styleId="Style14" w:customStyle="1">
    <w:name w:val="Символ сноски"/>
    <w:qFormat/>
    <w:rPr>
      <w:vertAlign w:val="superscript"/>
    </w:rPr>
  </w:style>
  <w:style w:type="character" w:styleId="Annotationreference">
    <w:name w:val="annotation reference"/>
    <w:qFormat/>
    <w:rPr>
      <w:sz w:val="16"/>
      <w:szCs w:val="16"/>
    </w:rPr>
  </w:style>
  <w:style w:type="character" w:styleId="CommentaireCar" w:customStyle="1">
    <w:name w:val="Commentaire Car"/>
    <w:basedOn w:val="DefaultParagraphFont"/>
    <w:qFormat/>
    <w:rPr/>
  </w:style>
  <w:style w:type="character" w:styleId="ObjetducommentaireCar" w:customStyle="1">
    <w:name w:val="Objet du commentaire Car"/>
    <w:qFormat/>
    <w:rPr>
      <w:b/>
      <w:bCs/>
    </w:rPr>
  </w:style>
  <w:style w:type="character" w:styleId="Sujet" w:customStyle="1">
    <w:name w:val="sujet"/>
    <w:qFormat/>
    <w:rPr/>
  </w:style>
  <w:style w:type="character" w:styleId="Numref" w:customStyle="1">
    <w:name w:val="numref"/>
    <w:qFormat/>
    <w:rPr/>
  </w:style>
  <w:style w:type="character" w:styleId="Titre" w:customStyle="1">
    <w:name w:val="titre"/>
    <w:qFormat/>
    <w:rPr/>
  </w:style>
  <w:style w:type="character" w:styleId="ListLabel1" w:customStyle="1">
    <w:name w:val="ListLabel 1"/>
    <w:qFormat/>
    <w:rPr>
      <w:rFonts w:ascii="Calibri" w:hAnsi="Calibri" w:cs="Calibri"/>
      <w:sz w:val="28"/>
      <w:szCs w:val="28"/>
    </w:rPr>
  </w:style>
  <w:style w:type="character" w:styleId="ListLabel2" w:customStyle="1">
    <w:name w:val="ListLabel 2"/>
    <w:qFormat/>
    <w:rPr>
      <w:rFonts w:ascii="Calibri" w:hAnsi="Calibri" w:cs="Calibri"/>
      <w:i w:val="false"/>
      <w:sz w:val="28"/>
      <w:szCs w:val="28"/>
    </w:rPr>
  </w:style>
  <w:style w:type="character" w:styleId="ListLabel3" w:customStyle="1">
    <w:name w:val="ListLabel 3"/>
    <w:qFormat/>
    <w:rPr>
      <w:rFonts w:ascii="Calibri" w:hAnsi="Calibri" w:cs="Calibri"/>
      <w:sz w:val="28"/>
      <w:szCs w:val="28"/>
    </w:rPr>
  </w:style>
  <w:style w:type="character" w:styleId="ListLabel4" w:customStyle="1">
    <w:name w:val="ListLabel 4"/>
    <w:qFormat/>
    <w:rPr>
      <w:rFonts w:ascii="Calibri" w:hAnsi="Calibri" w:cs="Calibri"/>
      <w:i w:val="false"/>
      <w:sz w:val="28"/>
      <w:szCs w:val="28"/>
    </w:rPr>
  </w:style>
  <w:style w:type="character" w:styleId="ListLabel5">
    <w:name w:val="ListLabel 5"/>
    <w:qFormat/>
    <w:rPr>
      <w:rFonts w:ascii="Calibri" w:hAnsi="Calibri" w:cs="Calibri"/>
      <w:sz w:val="28"/>
      <w:szCs w:val="28"/>
    </w:rPr>
  </w:style>
  <w:style w:type="character" w:styleId="ListLabel6">
    <w:name w:val="ListLabel 6"/>
    <w:qFormat/>
    <w:rPr>
      <w:rFonts w:ascii="Calibri" w:hAnsi="Calibri" w:cs="Calibri"/>
      <w:i w:val="false"/>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rPr>
      <w:rFonts w:ascii="Tahoma" w:hAnsi="Tahoma" w:cs="Tahoma"/>
      <w:sz w:val="16"/>
      <w:szCs w:val="16"/>
    </w:rPr>
  </w:style>
  <w:style w:type="paragraph" w:styleId="Style20">
    <w:name w:val="Footnote Text"/>
    <w:basedOn w:val="Normal"/>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ListParagraph">
    <w:name w:val="List Paragraph"/>
    <w:basedOn w:val="Normal"/>
    <w:qFormat/>
    <w:pPr>
      <w:ind w:left="708" w:hanging="0"/>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LibreOffice/6.1.4.2$Windows_X86_64 LibreOffice_project/9d0f32d1f0b509096fd65e0d4bec26ddd1938fd3</Application>
  <Pages>2</Pages>
  <Words>484</Words>
  <Characters>2655</Characters>
  <CharactersWithSpaces>3116</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2020-04-17T11:53:00Z</dcterms:created>
  <dc:creator>Jean-Philippe GERMAIN</dc:creator>
  <dc:description/>
  <dc:language>en-US</dc:language>
  <cp:lastModifiedBy/>
  <cp:lastPrinted>2020-03-12T11:00:00Z</cp:lastPrinted>
  <dcterms:modified xsi:type="dcterms:W3CDTF">2020-04-17T15:46:36Z</dcterms:modified>
  <cp:revision>3</cp:revision>
  <dc:subject/>
  <dc:title>DEMANDE DE BOURSES D'ETUDES EN THEOLOGIE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